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032" w:rsidRDefault="00D60032" w:rsidP="00D600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изменения 2021 года весьма значительны и касаются, в том числе и физических лиц.</w:t>
      </w:r>
    </w:p>
    <w:p w:rsidR="00D60032" w:rsidRDefault="00D60032" w:rsidP="007B167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253887" w:rsidRPr="00BE7DAF" w:rsidRDefault="00253887" w:rsidP="007B167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BE7DA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3 НДФЛ новая форма</w:t>
      </w:r>
    </w:p>
    <w:p w:rsidR="008A0907" w:rsidRPr="008A0907" w:rsidRDefault="007B167D" w:rsidP="007B167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Приказом </w:t>
      </w:r>
      <w:r w:rsidR="008A0907" w:rsidRPr="008A090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28.10.2021 N 65631)</w:t>
      </w:r>
    </w:p>
    <w:p w:rsidR="007B167D" w:rsidRDefault="007B167D" w:rsidP="007B167D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B167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Необходимость корректировки действующей формы обусловлена внесением изменений в налоговое законодательство, вступивших в силу с 1 января 2021 года, в части увеличение налоговой ставки по НДФЛ с доходов физлиц, превышающих 5 млн руб. за налоговый период. Также были внесены поправки, предусматривающие возможность налогоплательщикам получать налоговые вычеты по НДФЛ в упрощенном порядке.</w:t>
      </w:r>
    </w:p>
    <w:p w:rsidR="00936C80" w:rsidRDefault="00936C80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22" w:rsidRPr="008A1422" w:rsidRDefault="00D60032" w:rsidP="007B167D">
      <w:pPr>
        <w:pStyle w:val="aligncenter"/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Cs/>
          <w:color w:val="000000"/>
          <w:kern w:val="36"/>
          <w:sz w:val="28"/>
          <w:szCs w:val="28"/>
        </w:rPr>
      </w:pPr>
      <w:hyperlink r:id="rId6" w:anchor="dst100368" w:history="1">
        <w:r w:rsidR="008A1422" w:rsidRPr="007B167D">
          <w:rPr>
            <w:color w:val="000000"/>
            <w:sz w:val="28"/>
            <w:szCs w:val="28"/>
            <w:u w:val="single"/>
          </w:rPr>
          <w:t>Приложения 5</w:t>
        </w:r>
      </w:hyperlink>
      <w:r w:rsidR="008A1422" w:rsidRPr="008A1422">
        <w:rPr>
          <w:bCs/>
          <w:color w:val="000000"/>
          <w:kern w:val="36"/>
          <w:sz w:val="28"/>
          <w:szCs w:val="28"/>
        </w:rPr>
        <w:t> "Расчет стандартных</w:t>
      </w:r>
      <w:r w:rsidR="008A1422">
        <w:rPr>
          <w:bCs/>
          <w:color w:val="000000"/>
          <w:kern w:val="36"/>
          <w:sz w:val="28"/>
          <w:szCs w:val="28"/>
        </w:rPr>
        <w:t xml:space="preserve"> </w:t>
      </w:r>
      <w:r w:rsidR="008A1422" w:rsidRPr="008A1422">
        <w:rPr>
          <w:bCs/>
          <w:color w:val="000000"/>
          <w:kern w:val="36"/>
          <w:sz w:val="28"/>
          <w:szCs w:val="28"/>
        </w:rPr>
        <w:t>и социальных налоговых вычетов, а также инвестиционных</w:t>
      </w:r>
      <w:r w:rsidR="008A1422">
        <w:rPr>
          <w:bCs/>
          <w:color w:val="000000"/>
          <w:kern w:val="36"/>
          <w:sz w:val="28"/>
          <w:szCs w:val="28"/>
        </w:rPr>
        <w:t xml:space="preserve"> </w:t>
      </w:r>
      <w:r w:rsidR="008A1422" w:rsidRPr="008A1422">
        <w:rPr>
          <w:bCs/>
          <w:color w:val="000000"/>
          <w:kern w:val="36"/>
          <w:sz w:val="28"/>
          <w:szCs w:val="28"/>
        </w:rPr>
        <w:t>налоговых вычетов, установленных </w:t>
      </w:r>
      <w:hyperlink r:id="rId7" w:anchor="dst9540" w:history="1">
        <w:r w:rsidR="008A1422" w:rsidRPr="008A1422">
          <w:rPr>
            <w:color w:val="000000"/>
            <w:sz w:val="28"/>
            <w:szCs w:val="28"/>
          </w:rPr>
          <w:t>статьей 219.1</w:t>
        </w:r>
      </w:hyperlink>
      <w:r w:rsidR="008A1422" w:rsidRPr="008A1422">
        <w:rPr>
          <w:bCs/>
          <w:color w:val="000000"/>
          <w:kern w:val="36"/>
          <w:sz w:val="28"/>
          <w:szCs w:val="28"/>
        </w:rPr>
        <w:t> Налогового</w:t>
      </w:r>
      <w:r w:rsidR="008A1422">
        <w:rPr>
          <w:bCs/>
          <w:color w:val="000000"/>
          <w:kern w:val="36"/>
          <w:sz w:val="28"/>
          <w:szCs w:val="28"/>
        </w:rPr>
        <w:t xml:space="preserve"> </w:t>
      </w:r>
      <w:r w:rsidR="008A1422" w:rsidRPr="008A1422">
        <w:rPr>
          <w:bCs/>
          <w:color w:val="000000"/>
          <w:kern w:val="36"/>
          <w:sz w:val="28"/>
          <w:szCs w:val="28"/>
        </w:rPr>
        <w:t>кодекса Российской Федерации"</w:t>
      </w:r>
    </w:p>
    <w:p w:rsidR="008A1422" w:rsidRDefault="008A1422" w:rsidP="007B167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B167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  <w:lang w:eastAsia="ru-RU"/>
        </w:rPr>
        <w:t>в </w:t>
      </w:r>
      <w:hyperlink r:id="rId8" w:anchor="dst100421" w:history="1">
        <w:r w:rsidRPr="007B167D">
          <w:rPr>
            <w:rFonts w:ascii="Times New Roman" w:eastAsia="Times New Roman" w:hAnsi="Times New Roman" w:cs="Times New Roman"/>
            <w:bCs/>
            <w:color w:val="000000"/>
            <w:kern w:val="36"/>
            <w:sz w:val="28"/>
            <w:szCs w:val="28"/>
            <w:u w:val="single"/>
            <w:lang w:eastAsia="ru-RU"/>
          </w:rPr>
          <w:t>строке 230</w:t>
        </w:r>
      </w:hyperlink>
      <w:r w:rsidRPr="008A142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 - суммы инвестиционного налогового вычета, предоставленного в соответствии со </w:t>
      </w:r>
      <w:hyperlink r:id="rId9" w:anchor="dst20436" w:history="1">
        <w:r w:rsidRPr="008A1422">
          <w:rPr>
            <w:rFonts w:ascii="Times New Roman" w:eastAsia="Times New Roman" w:hAnsi="Times New Roman" w:cs="Times New Roman"/>
            <w:bCs/>
            <w:color w:val="000000"/>
            <w:kern w:val="36"/>
            <w:sz w:val="28"/>
            <w:szCs w:val="28"/>
            <w:lang w:eastAsia="ru-RU"/>
          </w:rPr>
          <w:t>статьей 221.1</w:t>
        </w:r>
      </w:hyperlink>
      <w:r w:rsidRPr="008A142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 Кодекса в упрощенном порядке.</w:t>
      </w:r>
    </w:p>
    <w:p w:rsidR="007B167D" w:rsidRPr="008A1422" w:rsidRDefault="007B167D" w:rsidP="007B167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8A1422" w:rsidRPr="008A1422" w:rsidRDefault="00D60032" w:rsidP="007B167D">
      <w:pPr>
        <w:pStyle w:val="aligncenter"/>
        <w:shd w:val="clear" w:color="auto" w:fill="FFFFFF"/>
        <w:spacing w:before="0" w:beforeAutospacing="0" w:after="0" w:afterAutospacing="0" w:line="360" w:lineRule="auto"/>
        <w:jc w:val="both"/>
        <w:outlineLvl w:val="1"/>
        <w:rPr>
          <w:bCs/>
          <w:color w:val="000000"/>
          <w:kern w:val="36"/>
          <w:sz w:val="28"/>
          <w:szCs w:val="28"/>
        </w:rPr>
      </w:pPr>
      <w:hyperlink r:id="rId10" w:anchor="dst100476" w:history="1">
        <w:r w:rsidR="008A1422" w:rsidRPr="007B167D">
          <w:rPr>
            <w:color w:val="000000"/>
            <w:sz w:val="28"/>
            <w:szCs w:val="28"/>
            <w:u w:val="single"/>
          </w:rPr>
          <w:t>Приложения 7</w:t>
        </w:r>
      </w:hyperlink>
      <w:r w:rsidR="008A1422" w:rsidRPr="008A1422">
        <w:rPr>
          <w:bCs/>
          <w:color w:val="000000"/>
          <w:kern w:val="36"/>
          <w:sz w:val="28"/>
          <w:szCs w:val="28"/>
        </w:rPr>
        <w:t> "Расчет имущественных</w:t>
      </w:r>
      <w:r w:rsidR="007B167D">
        <w:rPr>
          <w:bCs/>
          <w:color w:val="000000"/>
          <w:kern w:val="36"/>
          <w:sz w:val="28"/>
          <w:szCs w:val="28"/>
        </w:rPr>
        <w:t xml:space="preserve"> </w:t>
      </w:r>
      <w:r w:rsidR="008A1422" w:rsidRPr="008A1422">
        <w:rPr>
          <w:bCs/>
          <w:color w:val="000000"/>
          <w:kern w:val="36"/>
          <w:sz w:val="28"/>
          <w:szCs w:val="28"/>
        </w:rPr>
        <w:t>налоговых вычетов по расходам на новое строительство</w:t>
      </w:r>
      <w:r w:rsidR="007B167D">
        <w:rPr>
          <w:bCs/>
          <w:color w:val="000000"/>
          <w:kern w:val="36"/>
          <w:sz w:val="28"/>
          <w:szCs w:val="28"/>
        </w:rPr>
        <w:t xml:space="preserve"> </w:t>
      </w:r>
      <w:r w:rsidR="008A1422" w:rsidRPr="008A1422">
        <w:rPr>
          <w:bCs/>
          <w:color w:val="000000"/>
          <w:kern w:val="36"/>
          <w:sz w:val="28"/>
          <w:szCs w:val="28"/>
        </w:rPr>
        <w:t>либо приобретение объектов недвижимого имущества"</w:t>
      </w:r>
    </w:p>
    <w:p w:rsidR="008A1422" w:rsidRPr="008A1422" w:rsidRDefault="008A1422" w:rsidP="007B167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B167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u w:val="single"/>
          <w:lang w:eastAsia="ru-RU"/>
        </w:rPr>
        <w:t>в </w:t>
      </w:r>
      <w:hyperlink r:id="rId11" w:anchor="dst100508" w:history="1">
        <w:r w:rsidRPr="007B167D">
          <w:rPr>
            <w:rFonts w:ascii="Times New Roman" w:eastAsia="Times New Roman" w:hAnsi="Times New Roman" w:cs="Times New Roman"/>
            <w:bCs/>
            <w:color w:val="000000"/>
            <w:kern w:val="36"/>
            <w:sz w:val="28"/>
            <w:szCs w:val="28"/>
            <w:u w:val="single"/>
            <w:lang w:eastAsia="ru-RU"/>
          </w:rPr>
          <w:t>строке 121</w:t>
        </w:r>
      </w:hyperlink>
      <w:r w:rsidRPr="008A142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 - суммы имущественного налогового вычета по расходам на новое строительство или приобретение объекта, предоставленного в соответствии со </w:t>
      </w:r>
      <w:hyperlink r:id="rId12" w:anchor="dst20436" w:history="1">
        <w:r w:rsidRPr="008A1422">
          <w:rPr>
            <w:rFonts w:ascii="Times New Roman" w:eastAsia="Times New Roman" w:hAnsi="Times New Roman" w:cs="Times New Roman"/>
            <w:bCs/>
            <w:color w:val="000000"/>
            <w:kern w:val="36"/>
            <w:sz w:val="28"/>
            <w:szCs w:val="28"/>
            <w:lang w:eastAsia="ru-RU"/>
          </w:rPr>
          <w:t>статьей 221.1</w:t>
        </w:r>
      </w:hyperlink>
      <w:r w:rsidRPr="008A142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 Кодекса в упрощенном порядке</w:t>
      </w:r>
    </w:p>
    <w:p w:rsidR="008A1422" w:rsidRDefault="008A1422" w:rsidP="007B167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7B167D" w:rsidRPr="00BE7DAF" w:rsidRDefault="00BE7DAF" w:rsidP="007B167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У</w:t>
      </w:r>
      <w:r w:rsidR="007B167D" w:rsidRPr="00BE7DA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прощенный порядок </w:t>
      </w:r>
    </w:p>
    <w:p w:rsidR="007B167D" w:rsidRPr="00001A35" w:rsidRDefault="007B167D" w:rsidP="007B167D">
      <w:pPr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21 мая 2021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вступили</w:t>
      </w: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изменения законодательства, предусматривающие возможность получения гражданами вычетов по НДФЛ за предыдущий налоговый период в сокращенные сроки без необходимости направления в налоговые органы декларации 3-НДФЛ и подтверждающих документов.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новшества введены </w:t>
      </w:r>
      <w:hyperlink r:id="rId13" w:tgtFrame="_blank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 от 20.04.2021 № 100-ФЗ</w:t>
        </w:r>
      </w:hyperlink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внесении изменений в части первую и вторую Налогового кодекса Российской Федерации».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Необходимую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нформацию налоговые органы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/получат </w:t>
      </w: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участников информационного взаимодействия – налоговых агентов (банков), которые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подключились/</w:t>
      </w: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 подключиться к такому обмену.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упрощенном порядке можно получить следующие налоговые вычеты по НДФЛ:</w:t>
      </w:r>
    </w:p>
    <w:p w:rsidR="007B167D" w:rsidRPr="00001A35" w:rsidRDefault="007B167D" w:rsidP="007B167D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 налоговые вычеты (</w:t>
      </w:r>
      <w:proofErr w:type="spellStart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. 2 и 3 п. 1 ст. 219.1 НК РФ);</w:t>
      </w:r>
    </w:p>
    <w:p w:rsidR="007B167D" w:rsidRPr="00001A35" w:rsidRDefault="007B167D" w:rsidP="007B167D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имущественные налоговые вычеты в сумме фактически произведенных расходов на приобретение объектов недвижимого имущества и по уплате процентов по ипотеке (</w:t>
      </w:r>
      <w:proofErr w:type="spellStart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. 3 и 4 п. 1 ст. 220 НК РФ).</w:t>
      </w:r>
    </w:p>
    <w:p w:rsidR="007B167D" w:rsidRPr="00001A35" w:rsidRDefault="007B167D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Налоговые вычеты будут представляться налогоплательщикам в </w:t>
      </w:r>
      <w:proofErr w:type="spellStart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проактивном</w:t>
      </w:r>
      <w:proofErr w:type="spellEnd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режиме посредством взаимодействия через </w:t>
      </w:r>
      <w:r w:rsidR="00F9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"Личный кабинет налогоплательщика для физических лиц"</w:t>
        </w:r>
      </w:hyperlink>
      <w:r w:rsidR="00BE7D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данных, подтверждающих право на вычет, будет информация, имеющаяся в распоряжении налоговых органов, в том числе, полученная налоговыми органами в рамках информационного обмена с внешними источниками – налоговыми агентами (банками), органами исполнительной власти.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поступления от налоговых агентов (банков) сведений налогоплательщиков проинформируют специальным сообщением в </w:t>
      </w:r>
      <w:hyperlink r:id="rId15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"Личном кабинете налогоплательщика для физических лиц"</w:t>
        </w:r>
      </w:hyperlink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наличия права у налогоплательщика на получение налогового вычета, налоговым органом налогоплательщику будет направлено в </w:t>
      </w:r>
      <w:hyperlink r:id="rId16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"Личный кабинет налогоплательщика для физических лиц"</w:t>
        </w:r>
      </w:hyperlink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предзаполненное</w:t>
      </w:r>
      <w:proofErr w:type="spellEnd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для его утверждения.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Такое заявление налоговый орган будет формировать не позднее 20 марта (по сведениям представленным до 1 марта) и не позднее 20 дней в случае представления сведений после 1 марта.</w:t>
      </w: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до появления </w:t>
      </w:r>
      <w:proofErr w:type="spellStart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предзаполненного</w:t>
      </w:r>
      <w:proofErr w:type="spellEnd"/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 в </w:t>
      </w:r>
      <w:hyperlink r:id="rId17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"Личном кабинете налогоплательщика для физических лиц"</w:t>
        </w:r>
      </w:hyperlink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требуется осуществлять каких-либо действий.</w:t>
      </w:r>
    </w:p>
    <w:p w:rsidR="007B167D" w:rsidRPr="00001A35" w:rsidRDefault="007B167D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67D" w:rsidRPr="00001A35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необходимые для получения вычетов (об операциях на индивидуальных инвестиционных счетах физических лиц и по приобретению недвижимого имущества), будут направляться только теми налоговыми агентами (банками), имеющими соответствующие лицензии на осуществление банковских операций, на осуществление брокерской деятельности либо деятельности по управлению ценными бумагами, которые участвуют в обмене информацией с ФНС России в соответствии с </w:t>
      </w:r>
      <w:hyperlink r:id="rId18" w:history="1">
        <w:r w:rsidRPr="00001A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 обмена информацией в целях предоставления налоговых вычетов в упрощенном порядке</w:t>
        </w:r>
      </w:hyperlink>
    </w:p>
    <w:p w:rsidR="007B167D" w:rsidRDefault="007B167D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Присоединение налоговых агентов (банков) к такому взаимодействию с налоговыми органами осуществляется в добровольном порядке.</w:t>
      </w:r>
    </w:p>
    <w:p w:rsidR="00BE7DAF" w:rsidRPr="00001A35" w:rsidRDefault="00BE7DAF" w:rsidP="007B167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7DAF" w:rsidRPr="00001A35" w:rsidRDefault="00BE7DAF" w:rsidP="007B167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B167D" w:rsidRPr="00BE7DAF" w:rsidRDefault="007B167D" w:rsidP="007B167D">
      <w:pPr>
        <w:pStyle w:val="5"/>
        <w:shd w:val="clear" w:color="auto" w:fill="FFFFFF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</w:pPr>
      <w:r w:rsidRPr="00BE7DAF">
        <w:rPr>
          <w:rFonts w:ascii="Times New Roman" w:hAnsi="Times New Roman" w:cs="Times New Roman"/>
          <w:color w:val="auto"/>
          <w:sz w:val="28"/>
          <w:szCs w:val="28"/>
          <w:u w:val="single"/>
        </w:rPr>
        <w:t>Кто из налоговых агентов (банков) уже подключился к такому взаимодействию?</w:t>
      </w:r>
    </w:p>
    <w:p w:rsidR="007B167D" w:rsidRDefault="007B167D" w:rsidP="00F9674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1A35">
        <w:rPr>
          <w:sz w:val="28"/>
          <w:szCs w:val="28"/>
        </w:rPr>
        <w:t>К сервису предоставления налоговых вычетов по НДФЛ в упро</w:t>
      </w:r>
      <w:r w:rsidR="00F96741">
        <w:rPr>
          <w:sz w:val="28"/>
          <w:szCs w:val="28"/>
        </w:rPr>
        <w:t>щенном порядке уже подключились.</w:t>
      </w: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3115"/>
        <w:gridCol w:w="1700"/>
        <w:gridCol w:w="4536"/>
      </w:tblGrid>
      <w:tr w:rsidR="00F96741" w:rsidTr="00F96741">
        <w:tc>
          <w:tcPr>
            <w:tcW w:w="3115" w:type="dxa"/>
          </w:tcPr>
          <w:p w:rsidR="00F96741" w:rsidRDefault="00F96741" w:rsidP="00F96741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Кредитное учреждение</w:t>
            </w:r>
          </w:p>
        </w:tc>
        <w:tc>
          <w:tcPr>
            <w:tcW w:w="1700" w:type="dxa"/>
          </w:tcPr>
          <w:p w:rsidR="00F96741" w:rsidRDefault="00F96741" w:rsidP="00F96741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ИНН/КПП</w:t>
            </w:r>
          </w:p>
        </w:tc>
        <w:tc>
          <w:tcPr>
            <w:tcW w:w="4536" w:type="dxa"/>
          </w:tcPr>
          <w:p w:rsidR="00F96741" w:rsidRDefault="00F96741" w:rsidP="00F96741">
            <w:pPr>
              <w:pStyle w:val="a4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Тип сведений</w:t>
            </w:r>
          </w:p>
        </w:tc>
      </w:tr>
      <w:tr w:rsidR="00F96741" w:rsidTr="00F96741">
        <w:tc>
          <w:tcPr>
            <w:tcW w:w="3115" w:type="dxa"/>
          </w:tcPr>
          <w:p w:rsidR="00F96741" w:rsidRDefault="00F96741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Банк ВТБ (ПАО)</w:t>
            </w:r>
          </w:p>
        </w:tc>
        <w:tc>
          <w:tcPr>
            <w:tcW w:w="1700" w:type="dxa"/>
          </w:tcPr>
          <w:p w:rsidR="00F96741" w:rsidRDefault="00F96741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7702070139/</w:t>
            </w:r>
            <w:r w:rsidRPr="00F96741">
              <w:rPr>
                <w:sz w:val="28"/>
                <w:szCs w:val="28"/>
              </w:rPr>
              <w:br/>
            </w:r>
            <w:r w:rsidRPr="00F96741">
              <w:rPr>
                <w:sz w:val="28"/>
                <w:szCs w:val="28"/>
              </w:rPr>
              <w:lastRenderedPageBreak/>
              <w:t>770943002</w:t>
            </w:r>
          </w:p>
        </w:tc>
        <w:tc>
          <w:tcPr>
            <w:tcW w:w="4536" w:type="dxa"/>
          </w:tcPr>
          <w:p w:rsidR="00F96741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F96741">
              <w:rPr>
                <w:sz w:val="28"/>
                <w:szCs w:val="28"/>
              </w:rPr>
              <w:t xml:space="preserve">инвестиционный налоговый вычет </w:t>
            </w:r>
            <w:r w:rsidRPr="00F96741">
              <w:rPr>
                <w:sz w:val="28"/>
                <w:szCs w:val="28"/>
              </w:rPr>
              <w:lastRenderedPageBreak/>
              <w:t xml:space="preserve">по </w:t>
            </w:r>
            <w:proofErr w:type="spellStart"/>
            <w:r w:rsidRPr="00F96741">
              <w:rPr>
                <w:sz w:val="28"/>
                <w:szCs w:val="28"/>
              </w:rPr>
              <w:t>пп</w:t>
            </w:r>
            <w:proofErr w:type="spellEnd"/>
            <w:r w:rsidRPr="00F96741">
              <w:rPr>
                <w:sz w:val="28"/>
                <w:szCs w:val="28"/>
              </w:rPr>
              <w:t>. 3 п.1 ст. 219.1 НК РФ</w:t>
            </w:r>
            <w:r w:rsidRPr="00F9674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- </w:t>
            </w:r>
            <w:r w:rsidRPr="00F96741">
              <w:rPr>
                <w:sz w:val="28"/>
                <w:szCs w:val="28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sz w:val="28"/>
                <w:szCs w:val="28"/>
              </w:rPr>
              <w:t>пп</w:t>
            </w:r>
            <w:proofErr w:type="spellEnd"/>
            <w:r w:rsidRPr="00F96741">
              <w:rPr>
                <w:sz w:val="28"/>
                <w:szCs w:val="28"/>
              </w:rPr>
              <w:t>. 2 п.1 ст. 219.1 НК РФ</w:t>
            </w:r>
            <w:r w:rsidRPr="00F9674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- </w:t>
            </w:r>
            <w:r w:rsidRPr="00F96741">
              <w:rPr>
                <w:sz w:val="28"/>
                <w:szCs w:val="28"/>
              </w:rPr>
              <w:t xml:space="preserve">имущественные налоговые вычеты по </w:t>
            </w:r>
            <w:proofErr w:type="spellStart"/>
            <w:r w:rsidRPr="00F96741">
              <w:rPr>
                <w:sz w:val="28"/>
                <w:szCs w:val="28"/>
              </w:rPr>
              <w:t>пп</w:t>
            </w:r>
            <w:proofErr w:type="spellEnd"/>
            <w:r w:rsidRPr="00F96741">
              <w:rPr>
                <w:sz w:val="28"/>
                <w:szCs w:val="28"/>
              </w:rPr>
              <w:t>. 3 и 4 п.1 ст. 220 НК РФ</w:t>
            </w:r>
          </w:p>
        </w:tc>
      </w:tr>
      <w:tr w:rsidR="0069643F" w:rsidTr="00F96741">
        <w:tc>
          <w:tcPr>
            <w:tcW w:w="3115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lastRenderedPageBreak/>
              <w:t>ООО УК "Альфа-Капитал"</w:t>
            </w:r>
          </w:p>
        </w:tc>
        <w:tc>
          <w:tcPr>
            <w:tcW w:w="1700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7728142469/</w:t>
            </w:r>
            <w:r w:rsidRPr="00F96741">
              <w:rPr>
                <w:sz w:val="28"/>
                <w:szCs w:val="28"/>
              </w:rPr>
              <w:br/>
              <w:t>770301001</w:t>
            </w:r>
          </w:p>
        </w:tc>
        <w:tc>
          <w:tcPr>
            <w:tcW w:w="4536" w:type="dxa"/>
          </w:tcPr>
          <w:p w:rsidR="0069643F" w:rsidRDefault="0069643F" w:rsidP="0069643F"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3 п.1 ст. 219.1 НК РФ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2 п.1 ст. 219.1 НК РФ</w:t>
            </w:r>
          </w:p>
        </w:tc>
      </w:tr>
      <w:tr w:rsidR="0069643F" w:rsidTr="00F96741">
        <w:tc>
          <w:tcPr>
            <w:tcW w:w="3115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ООО "РСХБ Управление Активами"</w:t>
            </w:r>
          </w:p>
        </w:tc>
        <w:tc>
          <w:tcPr>
            <w:tcW w:w="1700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7704814182/</w:t>
            </w:r>
            <w:r w:rsidRPr="00F96741">
              <w:rPr>
                <w:sz w:val="28"/>
                <w:szCs w:val="28"/>
              </w:rPr>
              <w:br/>
              <w:t>770301001</w:t>
            </w:r>
          </w:p>
        </w:tc>
        <w:tc>
          <w:tcPr>
            <w:tcW w:w="4536" w:type="dxa"/>
          </w:tcPr>
          <w:p w:rsidR="0069643F" w:rsidRDefault="0069643F" w:rsidP="0069643F"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3 п.1 ст. 219.1 НК РФ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2 п.1 ст. 219.1 НК РФ</w:t>
            </w:r>
          </w:p>
        </w:tc>
      </w:tr>
      <w:tr w:rsidR="0069643F" w:rsidTr="00F96741">
        <w:tc>
          <w:tcPr>
            <w:tcW w:w="3115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АО «</w:t>
            </w:r>
            <w:proofErr w:type="spellStart"/>
            <w:r w:rsidRPr="00F96741">
              <w:rPr>
                <w:sz w:val="28"/>
                <w:szCs w:val="28"/>
              </w:rPr>
              <w:t>Сбер</w:t>
            </w:r>
            <w:proofErr w:type="spellEnd"/>
            <w:r w:rsidRPr="00F96741">
              <w:rPr>
                <w:sz w:val="28"/>
                <w:szCs w:val="28"/>
              </w:rPr>
              <w:t xml:space="preserve"> Управление активами»</w:t>
            </w:r>
          </w:p>
        </w:tc>
        <w:tc>
          <w:tcPr>
            <w:tcW w:w="1700" w:type="dxa"/>
          </w:tcPr>
          <w:p w:rsidR="0069643F" w:rsidRDefault="0069643F" w:rsidP="0069643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96741">
              <w:rPr>
                <w:sz w:val="28"/>
                <w:szCs w:val="28"/>
              </w:rPr>
              <w:t>7710183778/</w:t>
            </w:r>
            <w:r w:rsidRPr="00F96741">
              <w:rPr>
                <w:sz w:val="28"/>
                <w:szCs w:val="28"/>
              </w:rPr>
              <w:br/>
              <w:t>773001001</w:t>
            </w:r>
          </w:p>
        </w:tc>
        <w:tc>
          <w:tcPr>
            <w:tcW w:w="4536" w:type="dxa"/>
          </w:tcPr>
          <w:p w:rsidR="0069643F" w:rsidRDefault="0069643F" w:rsidP="0069643F"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3 п.1 ст. 219.1 НК РФ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A2AE7">
              <w:rPr>
                <w:sz w:val="28"/>
                <w:szCs w:val="28"/>
              </w:rPr>
              <w:t xml:space="preserve">- </w:t>
            </w:r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инвестиционный налоговый вычет по </w:t>
            </w:r>
            <w:proofErr w:type="spellStart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  <w:r w:rsidRPr="00F967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2 п.1 ст. 219.1 НК РФ</w:t>
            </w:r>
          </w:p>
        </w:tc>
      </w:tr>
    </w:tbl>
    <w:p w:rsidR="00F96741" w:rsidRDefault="00F96741" w:rsidP="00F9674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939D2" w:rsidRPr="00BE7DAF" w:rsidRDefault="004939D2" w:rsidP="004939D2">
      <w:pPr>
        <w:pStyle w:val="5"/>
        <w:shd w:val="clear" w:color="auto" w:fill="FFFFFF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</w:pPr>
      <w:r w:rsidRPr="00BE7DAF">
        <w:rPr>
          <w:rFonts w:ascii="Times New Roman" w:hAnsi="Times New Roman" w:cs="Times New Roman"/>
          <w:color w:val="auto"/>
          <w:sz w:val="28"/>
          <w:szCs w:val="28"/>
          <w:u w:val="single"/>
        </w:rPr>
        <w:t>Что необходимо сделать для того, чтобы налоговый агент (банк) представил сведения в налоговый орган?</w:t>
      </w:r>
    </w:p>
    <w:p w:rsidR="004939D2" w:rsidRDefault="004939D2" w:rsidP="004939D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01A35">
        <w:rPr>
          <w:sz w:val="28"/>
          <w:szCs w:val="28"/>
        </w:rPr>
        <w:t>Для уточнения возможности получения налоговых вычетов в упрощенном порядке следует обратиться к налоговому агенту (банку), с которым заключен договор по приобретению имущества или договор на ведение индивидуального инвестиционного счета.</w:t>
      </w:r>
    </w:p>
    <w:p w:rsidR="004939D2" w:rsidRDefault="004939D2" w:rsidP="00F96741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B167D" w:rsidRPr="00001A35" w:rsidRDefault="007B167D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Лучше не использовать:</w:t>
      </w:r>
    </w:p>
    <w:p w:rsidR="007B167D" w:rsidRPr="00001A35" w:rsidRDefault="007B167D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A35">
        <w:rPr>
          <w:rFonts w:ascii="Times New Roman" w:hAnsi="Times New Roman" w:cs="Times New Roman"/>
          <w:sz w:val="28"/>
          <w:szCs w:val="28"/>
        </w:rPr>
        <w:t>Если есть соц</w:t>
      </w:r>
      <w:r w:rsidR="001A1ECD">
        <w:rPr>
          <w:rFonts w:ascii="Times New Roman" w:hAnsi="Times New Roman" w:cs="Times New Roman"/>
          <w:sz w:val="28"/>
          <w:szCs w:val="28"/>
        </w:rPr>
        <w:t>.</w:t>
      </w:r>
      <w:r w:rsidRPr="00001A35">
        <w:rPr>
          <w:rFonts w:ascii="Times New Roman" w:hAnsi="Times New Roman" w:cs="Times New Roman"/>
          <w:sz w:val="28"/>
          <w:szCs w:val="28"/>
        </w:rPr>
        <w:t xml:space="preserve"> вычеты, перераспределение расходов между супругами</w:t>
      </w:r>
    </w:p>
    <w:p w:rsidR="007B167D" w:rsidRDefault="007B167D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A60" w:rsidRDefault="006E5A60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A60" w:rsidRPr="00AB55FB" w:rsidRDefault="006E5A60" w:rsidP="006E5A60">
      <w:pPr>
        <w:pStyle w:val="a4"/>
        <w:spacing w:before="0" w:beforeAutospacing="0" w:after="0" w:afterAutospacing="0" w:line="360" w:lineRule="auto"/>
        <w:jc w:val="both"/>
        <w:rPr>
          <w:b/>
          <w:iCs/>
          <w:spacing w:val="6"/>
          <w:sz w:val="28"/>
          <w:szCs w:val="28"/>
        </w:rPr>
      </w:pPr>
      <w:r w:rsidRPr="00AB55FB">
        <w:rPr>
          <w:b/>
          <w:iCs/>
          <w:spacing w:val="6"/>
          <w:sz w:val="28"/>
          <w:szCs w:val="28"/>
        </w:rPr>
        <w:t>Вычеты</w:t>
      </w:r>
    </w:p>
    <w:p w:rsidR="006E5A60" w:rsidRPr="001A1ECD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</w:t>
      </w:r>
      <w:r w:rsidR="00DA0C2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алоговым кодексом предусмотрены следующие </w:t>
      </w: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групп</w:t>
      </w:r>
      <w:r w:rsidR="00DA0C2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ы</w:t>
      </w: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налоговых вычетов: </w:t>
      </w:r>
    </w:p>
    <w:p w:rsidR="006E5A60" w:rsidRPr="001A1ECD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Стандартные налоговые вычеты (ст. 218 НК РФ)</w:t>
      </w:r>
    </w:p>
    <w:p w:rsidR="006E5A60" w:rsidRPr="001A1ECD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Социальные налоговые вычеты (ст. 219 НК РФ) </w:t>
      </w:r>
    </w:p>
    <w:p w:rsidR="006E5A60" w:rsidRPr="001A1ECD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Инвестиционные налоговые вычеты (ст. 219.1 НК РФ) </w:t>
      </w:r>
    </w:p>
    <w:p w:rsidR="006E5A60" w:rsidRPr="001A1ECD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Имущественные налоговые вычеты (ст. 220 НК РФ) </w:t>
      </w:r>
    </w:p>
    <w:p w:rsidR="006E5A60" w:rsidRDefault="006E5A60" w:rsidP="006E5A60">
      <w:pPr>
        <w:spacing w:after="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Профессиональные налоговые вычеты (ст. 221 НК РФ) </w:t>
      </w:r>
    </w:p>
    <w:p w:rsidR="006E5A60" w:rsidRDefault="006E5A60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1A1EC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lastRenderedPageBreak/>
        <w:t>Налоговые вычеты при переносе на будущие периоды убытков от операций с ценными бумагами и операций с финансовыми инструментами срочных сделок, обращающимися на организованном рынке (ст. 220.1 НК РФ)</w:t>
      </w:r>
    </w:p>
    <w:p w:rsidR="00FB72DF" w:rsidRDefault="00FB72DF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B72DF" w:rsidRDefault="00FB72DF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DA0C23" w:rsidRDefault="00DA0C23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Одним из стандартных налоговых вычетов является вычет на налогоплательщика, который предоставляется определённым физическим лицам, например, «чернобыльцам», инвалидам с детства, родителям и супругам погибших военнослужащих. Полный перечень физических лиц, которые могут претендовать на получение стандартного вычета, указан в </w:t>
      </w:r>
      <w:proofErr w:type="spellStart"/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fldChar w:fldCharType="begin"/>
      </w: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instrText xml:space="preserve"> HYPERLINK "http://nalog.garant.ru/fns/nk/1458a0a55ea2ab5e42fde990265bcdf4/" \l "block_218" \t "_blank" </w:instrText>
      </w: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fldChar w:fldCharType="separate"/>
      </w: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пп</w:t>
      </w:r>
      <w:proofErr w:type="spellEnd"/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. 1, 2, 4 ст.218 НК РФ</w:t>
      </w: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fldChar w:fldCharType="end"/>
      </w: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.</w:t>
      </w:r>
    </w:p>
    <w:p w:rsidR="00CA5267" w:rsidRPr="00CA5267" w:rsidRDefault="00CA5267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CA5267" w:rsidRDefault="00CA5267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Налогоплательщикам, имеющим право более чем на один стандартный налоговый вычет, предоставляется максимальный из соответствующих вычетов. </w:t>
      </w:r>
    </w:p>
    <w:p w:rsidR="00CA5267" w:rsidRPr="00CA5267" w:rsidRDefault="00CA5267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CA5267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При этом вычет на детей предоставляется независимо от предоставления других стандартных налоговых вычетов.</w:t>
      </w:r>
    </w:p>
    <w:p w:rsidR="00CA5267" w:rsidRDefault="00CA5267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4E568C" w:rsidRDefault="004E568C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4E568C" w:rsidRP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Налоговым кодексом предусмотрено следующие социальные налоговые вычеты:</w:t>
      </w:r>
    </w:p>
    <w:p w:rsidR="004E568C" w:rsidRP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расходам на благотворительность (п. 1 ст. 219 НК РФ);</w:t>
      </w:r>
    </w:p>
    <w:p w:rsidR="004E568C" w:rsidRP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расходам на обучение (п. 2 ст. 219 НК РФ);</w:t>
      </w:r>
    </w:p>
    <w:p w:rsidR="004E568C" w:rsidRP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расходам на лечение и приобретение медикаменто</w:t>
      </w:r>
      <w:proofErr w:type="gramStart"/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в(</w:t>
      </w:r>
      <w:proofErr w:type="gramEnd"/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п. 3 ст. 219 НК РФ);</w:t>
      </w:r>
    </w:p>
    <w:p w:rsidR="004E568C" w:rsidRP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расходам на негосударственное пенсионное обеспечение, добровольное пенсионное страхование и добровольное страхование жизни</w:t>
      </w:r>
      <w:proofErr w:type="gramStart"/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»(</w:t>
      </w:r>
      <w:proofErr w:type="gramEnd"/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п. 4 ст. 219 НК РФ);</w:t>
      </w:r>
    </w:p>
    <w:p w:rsidR="004E568C" w:rsidRDefault="004E568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 расходам на накопительную часть трудовой пенсии</w:t>
      </w:r>
      <w:r w:rsidRPr="004E568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br/>
        <w:t>(п. 5 ст. 219 НК РФ).</w:t>
      </w:r>
    </w:p>
    <w:p w:rsidR="00E467AC" w:rsidRDefault="00E467A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E467AC" w:rsidRDefault="00E467A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120000 руб. </w:t>
      </w:r>
      <w:r>
        <w:rPr>
          <w:rFonts w:ascii="Arial" w:hAnsi="Arial" w:cs="Arial"/>
          <w:color w:val="405965"/>
          <w:shd w:val="clear" w:color="auto" w:fill="FFFFFF"/>
        </w:rPr>
        <w:t>максимальный совокупный размер понесенных расходов в налоговом периоде (за минусом расходов на обучение детей налогоплательщика и расходов на дорогостоящее лечение).</w:t>
      </w:r>
    </w:p>
    <w:p w:rsidR="00E467AC" w:rsidRDefault="00E467AC" w:rsidP="00E467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E467AC" w:rsidRDefault="00E467AC" w:rsidP="00E467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Инвестиционный </w:t>
      </w: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налоговый вычет предоставляется в сумме денежных средств, внесенных в налоговом периоде на индивидуальный инвестиционный счет, но не более 40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0 000 рублей в целом за год. Н</w:t>
      </w: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алоговый вычет предоставляется налогоплательщику при условии, что в течение срока действия договора на ведение индивидуального инвестиционного счета налогоплательщик не имел других договоров на ведение индивидуального инвестиционного счета (за исключением случаев прекращения договора с переводом всех активов, учитываемых </w:t>
      </w: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lastRenderedPageBreak/>
        <w:t>на индивидуальном инвестиционном счете, на другой индивидуальный инвестиционный счет, отк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рытый тому же физическому лицу).</w:t>
      </w:r>
    </w:p>
    <w:p w:rsidR="00E467AC" w:rsidRPr="00E467AC" w:rsidRDefault="00E467AC" w:rsidP="00E467A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случае прекращения договора на ведение индивидуального инвестиционного счета до истечения 3-х лет с момента открытия, сумма налога, не уплаченная налогоплательщиком в бюджет в связи с получением налогового вычета, подлежит восстановлению и уплате в бюджет с взысканием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с налогоплательщика сумм пеней.</w:t>
      </w:r>
    </w:p>
    <w:p w:rsidR="00E467AC" w:rsidRPr="004E568C" w:rsidRDefault="00E467AC" w:rsidP="004E56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4E568C" w:rsidRDefault="004E568C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tbl>
      <w:tblPr>
        <w:tblW w:w="1036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4252"/>
        <w:gridCol w:w="2552"/>
        <w:gridCol w:w="1289"/>
      </w:tblGrid>
      <w:tr w:rsidR="00FB72DF" w:rsidRPr="00FB72DF" w:rsidTr="004E568C">
        <w:trPr>
          <w:trHeight w:val="37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Вычет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18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стандартный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свидетельство о рождении, справка очное обучение, справка об инвалидности;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для двойного вычета - справка из </w:t>
            </w:r>
            <w:proofErr w:type="spell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ЗАГСа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ребенок -1 400, 2 ребенок -1 400, третий ребенок - 3 000 (доход до 350000);  ребенок инвалид + 12 000 ежемесячно (доход без ограничений)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15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обучение детей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свидетельство о рождении, договор 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очное обучение;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квитанции  (ЮЛ </w:t>
            </w:r>
            <w:proofErr w:type="gram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</w:t>
            </w:r>
            <w:proofErr w:type="gramEnd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ицензия, ИП с наемными работниками - лицензия;</w:t>
            </w:r>
            <w:r w:rsidR="004E5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без работников - не надо лиценз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1 ребенка 50 000 руб. 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обучение 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очное до 24 лет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пожертвование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квитанции, договор (но всегда есть - например: фонд </w:t>
            </w:r>
            <w:proofErr w:type="spell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алеша</w:t>
            </w:r>
            <w:proofErr w:type="spellEnd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 т.д.)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больше чем 25 % от суммы полученного дохода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11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свое обучение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договор;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квитанции  (ЮЛ </w:t>
            </w:r>
            <w:proofErr w:type="gram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</w:t>
            </w:r>
            <w:proofErr w:type="gramEnd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ицензия, ИП с наемными работниками - лицензия;</w:t>
            </w:r>
            <w:r w:rsidR="004E5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ИП без работников - не надо лиценз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ии)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руб.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2DF" w:rsidRPr="00FB72DF" w:rsidRDefault="00FB72DF" w:rsidP="00FB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одновременно все вычеты,  то сумма не более 120 000 руб.</w:t>
            </w:r>
          </w:p>
        </w:tc>
      </w:tr>
      <w:tr w:rsidR="00FB72DF" w:rsidRPr="00FB72DF" w:rsidTr="004E568C">
        <w:trPr>
          <w:trHeight w:val="11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лечение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4939D2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договор, квитанции и оригинал справки</w:t>
            </w:r>
            <w:r w:rsidR="00FB72DF"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 оказанных медицинских услугах; если за родственников - свидетельство о рождении, свидетельство о браке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C23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1- 120 000, </w:t>
            </w:r>
          </w:p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 дорогостоящее (без ограничений);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лечение детей 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 18 лет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15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медикаменты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рецепты (либо выписка  о назначении препаратов) и квитанции; если за родственников - свидетельство о рождении, свидетельство о браке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руб.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медикаменты детей 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 18 лет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26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lastRenderedPageBreak/>
              <w:t>страхование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DA0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договор;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квитанции 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если </w:t>
            </w:r>
            <w:r w:rsidR="00DA0C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страхование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родственников - свидетельство о рождении, свидетельство о браке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C23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договора</w:t>
            </w: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5 лет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выгодоприобретатель </w:t>
            </w:r>
            <w:r w:rsidR="00DA0C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Физлицо</w:t>
            </w:r>
          </w:p>
          <w:p w:rsidR="00FB72DF" w:rsidRPr="00FB72DF" w:rsidRDefault="00DA0C23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страхователь и налогоплательщик одно лицо</w:t>
            </w:r>
            <w:r w:rsidR="00FB72DF"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вычет только с суммы по страхованию жизни (дожитие и смерть), от несчастны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случаев, травм не предоставляется</w:t>
            </w:r>
            <w:r w:rsidR="00FB72DF"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B72DF"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120 000 руб.</w:t>
            </w: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пенсионное обеспечение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договор, квитанции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120 000 руб.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FB72DF" w:rsidRPr="00FB72DF" w:rsidTr="004E568C">
        <w:trPr>
          <w:trHeight w:val="11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инвестиционный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квитанции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наличие договора смотрим в ветке 122 - 03 - "Карточка плательщика" - Инвестиционные ...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наличие только 1 инвестиционного счета;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до 400 000 руб.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72DF" w:rsidRPr="00FB72DF" w:rsidTr="004E568C">
        <w:trPr>
          <w:trHeight w:val="45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имущественный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договор, платежные документы (расписка, платежное поручение); выписка ЕГРН,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если договор долевого участия, то вычет по дате приема-передачи (расходы согласно размеру доли);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по % - кредитный договор и справка об </w:t>
            </w:r>
            <w:proofErr w:type="gram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уплаченных</w:t>
            </w:r>
            <w:proofErr w:type="gramEnd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(проценты согласно размеру доли);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 руб. (на 1 объект</w:t>
            </w:r>
            <w:r w:rsidR="00DA0C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если до 01.01.2014 и несколько </w:t>
            </w:r>
            <w:proofErr w:type="gramStart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объектов</w:t>
            </w:r>
            <w:proofErr w:type="gramEnd"/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если после 01.01.2014)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% - только по одному объекту (3000000 руб</w:t>
            </w:r>
            <w:r w:rsidR="00DA0C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Супруги по заявлению о распределении могут распределить расходы по приобретению и по % (свидетельство о браке) - по объектам после </w:t>
            </w:r>
            <w:r w:rsidRPr="00FB7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01.01.2014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72DF" w:rsidRPr="00FB72DF" w:rsidRDefault="00FB72DF" w:rsidP="00FB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B72DF" w:rsidRDefault="00FB72DF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B72DF" w:rsidRDefault="00FB72DF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E467AC" w:rsidRPr="00E467AC" w:rsidRDefault="00E467AC" w:rsidP="002E1DD2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br/>
        <w:t>Вычет по покупке жилья не применяется в следующих случаях:</w:t>
      </w:r>
    </w:p>
    <w:p w:rsidR="00E467AC" w:rsidRPr="00E467AC" w:rsidRDefault="00E467AC" w:rsidP="002E1DD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если оплата строительства (приобретения) жилья произведена за счёт средств работодателей или иных лиц, средств материнского (семейного) капитала, а также за счёт бюджетных средств;</w:t>
      </w:r>
    </w:p>
    <w:p w:rsidR="00E467AC" w:rsidRPr="00E467AC" w:rsidRDefault="00E467AC" w:rsidP="002E1DD2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E467A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если сделка купли-продажи заключена с гражданином, являющимся по отношению к налогоплательщику взаимозависимым.</w:t>
      </w:r>
    </w:p>
    <w:p w:rsidR="00FB72DF" w:rsidRDefault="00FB72DF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E467AC" w:rsidRPr="004A4533" w:rsidRDefault="004A4533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A453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2000000 руб. максимальная сумма расходов на новое строительство или приобретение на территории Российской Федерации жилья, с которой будет исчисляться налоговый вычет.</w:t>
      </w:r>
    </w:p>
    <w:p w:rsidR="004A4533" w:rsidRDefault="004A4533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4A4533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3000000 руб. максимальная сумма расходов на строительство и приобретение жилья (земли под него) при погашении процентов по целевым займам (кредитам).</w:t>
      </w:r>
    </w:p>
    <w:p w:rsidR="00E467AC" w:rsidRPr="001A1ECD" w:rsidRDefault="00E467AC" w:rsidP="00FB72D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6E5A60" w:rsidRPr="001A1ECD" w:rsidRDefault="006E5A60" w:rsidP="006E5A60">
      <w:pPr>
        <w:pStyle w:val="a4"/>
        <w:jc w:val="both"/>
        <w:rPr>
          <w:spacing w:val="6"/>
          <w:sz w:val="28"/>
          <w:szCs w:val="28"/>
        </w:rPr>
      </w:pPr>
      <w:r w:rsidRPr="001A1ECD">
        <w:rPr>
          <w:spacing w:val="6"/>
          <w:sz w:val="28"/>
          <w:szCs w:val="28"/>
        </w:rPr>
        <w:t xml:space="preserve">С 1 января 2022 года. Ст. 1 Закона от 05.04.2021 № 88-ФЗ  социальный вычет по расходам на физкультурно-оздоровительные услуги. При этом организация или ИП, которые оказывают эту услугу, должны быть включены в перечень </w:t>
      </w:r>
      <w:proofErr w:type="spellStart"/>
      <w:r w:rsidRPr="001A1ECD">
        <w:rPr>
          <w:spacing w:val="6"/>
          <w:sz w:val="28"/>
          <w:szCs w:val="28"/>
        </w:rPr>
        <w:t>Минспорта</w:t>
      </w:r>
      <w:proofErr w:type="spellEnd"/>
      <w:r w:rsidRPr="001A1ECD">
        <w:rPr>
          <w:spacing w:val="6"/>
          <w:sz w:val="28"/>
          <w:szCs w:val="28"/>
        </w:rPr>
        <w:t>. Общая величина социального вычета не изменилась, она составляет 120 000 руб.</w:t>
      </w:r>
    </w:p>
    <w:p w:rsidR="006E5A60" w:rsidRPr="00001A35" w:rsidRDefault="006E5A60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7DAF" w:rsidRPr="00BE7DAF" w:rsidRDefault="00BE7DAF" w:rsidP="00BE7D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DAF">
        <w:rPr>
          <w:rFonts w:ascii="Times New Roman" w:hAnsi="Times New Roman" w:cs="Times New Roman"/>
          <w:b/>
          <w:sz w:val="28"/>
          <w:szCs w:val="28"/>
        </w:rPr>
        <w:t>Особенности порядка обложения НДФЛ процентов, полученных по вкладам в банках</w:t>
      </w:r>
    </w:p>
    <w:p w:rsidR="00BE7DAF" w:rsidRDefault="00BE7DAF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DAF">
        <w:rPr>
          <w:rFonts w:ascii="Times New Roman" w:hAnsi="Times New Roman" w:cs="Times New Roman"/>
          <w:sz w:val="28"/>
          <w:szCs w:val="28"/>
        </w:rPr>
        <w:lastRenderedPageBreak/>
        <w:t>С 1 января 2021 года доходы по вкладам будут </w:t>
      </w:r>
      <w:hyperlink r:id="rId19" w:tgtFrame="_blank" w:history="1">
        <w:r w:rsidRPr="00BE7DAF">
          <w:rPr>
            <w:rFonts w:ascii="Times New Roman" w:hAnsi="Times New Roman" w:cs="Times New Roman"/>
            <w:sz w:val="28"/>
            <w:szCs w:val="28"/>
          </w:rPr>
          <w:t>облагаться налогом</w:t>
        </w:r>
      </w:hyperlink>
      <w:r w:rsidRPr="00BE7DAF">
        <w:rPr>
          <w:rFonts w:ascii="Times New Roman" w:hAnsi="Times New Roman" w:cs="Times New Roman"/>
          <w:sz w:val="28"/>
          <w:szCs w:val="28"/>
        </w:rPr>
        <w:t> на доходы физических лиц.</w:t>
      </w:r>
    </w:p>
    <w:p w:rsidR="0045187E" w:rsidRPr="0045187E" w:rsidRDefault="0045187E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87E">
        <w:rPr>
          <w:rFonts w:ascii="Times New Roman" w:hAnsi="Times New Roman" w:cs="Times New Roman"/>
          <w:sz w:val="28"/>
          <w:szCs w:val="28"/>
        </w:rPr>
        <w:t>НДФЛ будет облагаться совокупный процентный доход по вкладам (остаткам на счетах) в российских банках, выплаченный физическому лицу за год, за минусом необлагаемого процентного дохода. Он рассчитывается как произведение 1 млн рублей и ключевой ставки Банка России, установленной на 1 января данного года.</w:t>
      </w:r>
    </w:p>
    <w:p w:rsidR="0045187E" w:rsidRDefault="0045187E" w:rsidP="007B16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87E">
        <w:rPr>
          <w:rFonts w:ascii="Times New Roman" w:hAnsi="Times New Roman" w:cs="Times New Roman"/>
          <w:sz w:val="28"/>
          <w:szCs w:val="28"/>
        </w:rPr>
        <w:t>На 1 января 2021 ставка определена в размере 4.25 %.</w:t>
      </w:r>
    </w:p>
    <w:p w:rsidR="00BE7DAF" w:rsidRDefault="002A64E2" w:rsidP="00BE7DAF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То есть</w:t>
      </w:r>
      <w:r w:rsidR="00BE7DAF" w:rsidRPr="00001A35">
        <w:rPr>
          <w:spacing w:val="6"/>
          <w:sz w:val="28"/>
          <w:szCs w:val="28"/>
        </w:rPr>
        <w:t xml:space="preserve"> необлагаемая сумма дохода со вклада рассчитывается так: 4,25% х 1 млн рублей. Получаем сумму в 42 500 рублей. </w:t>
      </w:r>
    </w:p>
    <w:p w:rsidR="002A64E2" w:rsidRDefault="00BE7DAF" w:rsidP="00BE7DAF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 w:rsidRPr="00001A35">
        <w:rPr>
          <w:spacing w:val="6"/>
          <w:sz w:val="28"/>
          <w:szCs w:val="28"/>
        </w:rPr>
        <w:t xml:space="preserve">Если вкладчик в течение года получил доход свыше этой цифры, ему придется заплатить 13% от величины превышения. </w:t>
      </w:r>
    </w:p>
    <w:p w:rsidR="002A64E2" w:rsidRDefault="002A64E2" w:rsidP="00BE7DAF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 xml:space="preserve"> </w:t>
      </w:r>
    </w:p>
    <w:p w:rsidR="00BE7DAF" w:rsidRPr="002A64E2" w:rsidRDefault="002A64E2" w:rsidP="002A64E2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 w:rsidRPr="002A64E2">
        <w:rPr>
          <w:spacing w:val="6"/>
          <w:sz w:val="28"/>
          <w:szCs w:val="28"/>
        </w:rPr>
        <w:t>Например, у физического лица с начала 2021 года открыт рублевый вклад в размере 1,5 млн рублей, ставка по вкладу 5% годовых, проценты выплачиваются в конце срока действия, который заканчивается 1 декабря. Других вкладов нет. Таким образом, процентный доход составит 68 750 рублей. Предположим, что ключевая ставка Банка России на 1 января 2021 года – 4,25 %, тогда необлагаемый процентный доход за год составит 42 500 рублей. В результате для такого физического лица сумма налога к уплате составит: (68 750 рублей – 42 500 рублей) х 13% = 3 412,50 рублей.</w:t>
      </w:r>
    </w:p>
    <w:p w:rsidR="00BA0D87" w:rsidRPr="00BA0D87" w:rsidRDefault="00BA0D87" w:rsidP="00BA0D87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>
        <w:rPr>
          <w:spacing w:val="6"/>
          <w:sz w:val="28"/>
          <w:szCs w:val="28"/>
        </w:rPr>
        <w:t>С</w:t>
      </w:r>
      <w:r w:rsidRPr="00BA0D87">
        <w:rPr>
          <w:spacing w:val="6"/>
          <w:sz w:val="28"/>
          <w:szCs w:val="28"/>
        </w:rPr>
        <w:t>ам вклад, равно как и возврат вклада, облагаться налогом не будет</w:t>
      </w:r>
      <w:r>
        <w:rPr>
          <w:spacing w:val="6"/>
          <w:sz w:val="28"/>
          <w:szCs w:val="28"/>
        </w:rPr>
        <w:t>.</w:t>
      </w:r>
    </w:p>
    <w:p w:rsidR="00881F1C" w:rsidRDefault="00881F1C" w:rsidP="00BE7D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A64E2" w:rsidRDefault="00881F1C" w:rsidP="00BE7D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112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Впервые заплатить НДФЛ с процентов надо будет не позднее 1 декабря 2022 года на основании уведомления из налоговой.</w:t>
      </w:r>
    </w:p>
    <w:p w:rsidR="008F5869" w:rsidRDefault="008F5869" w:rsidP="00BE7DAF">
      <w:pPr>
        <w:spacing w:after="0" w:line="360" w:lineRule="auto"/>
        <w:jc w:val="both"/>
        <w:rPr>
          <w:rFonts w:ascii="Arial" w:hAnsi="Arial" w:cs="Arial"/>
          <w:color w:val="333333"/>
          <w:sz w:val="23"/>
          <w:szCs w:val="23"/>
        </w:rPr>
      </w:pPr>
    </w:p>
    <w:p w:rsidR="008F5869" w:rsidRDefault="008F5869" w:rsidP="00BE7DAF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8F586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 налоговую базу не войдут проценты: по всем рублевым счетам, у которых ставка не превышает 1% годовых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и</w:t>
      </w:r>
      <w:r w:rsidRPr="008F586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по счетам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эскроу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.</w:t>
      </w:r>
    </w:p>
    <w:p w:rsidR="008F5869" w:rsidRPr="00BA0D87" w:rsidRDefault="008F5869" w:rsidP="00BE7DA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pacing w:val="6"/>
          <w:sz w:val="28"/>
          <w:szCs w:val="28"/>
          <w:lang w:eastAsia="ru-RU"/>
        </w:rPr>
      </w:pPr>
      <w:r w:rsidRPr="008F5869">
        <w:rPr>
          <w:rFonts w:ascii="Times New Roman" w:eastAsia="Times New Roman" w:hAnsi="Times New Roman" w:cs="Times New Roman"/>
          <w:i/>
          <w:spacing w:val="6"/>
          <w:sz w:val="28"/>
          <w:szCs w:val="28"/>
          <w:lang w:eastAsia="ru-RU"/>
        </w:rPr>
        <w:lastRenderedPageBreak/>
        <w:t>Но при этом проценты по счетам в иностранной валюте, пересчитанные в рубли, по курсу на дату получения дохода, будут в полном объеме включаться в налоговую ба</w:t>
      </w:r>
      <w:r>
        <w:rPr>
          <w:rFonts w:ascii="Times New Roman" w:eastAsia="Times New Roman" w:hAnsi="Times New Roman" w:cs="Times New Roman"/>
          <w:i/>
          <w:spacing w:val="6"/>
          <w:sz w:val="28"/>
          <w:szCs w:val="28"/>
          <w:lang w:eastAsia="ru-RU"/>
        </w:rPr>
        <w:t>зу и подлежать налогообложению.</w:t>
      </w:r>
      <w:r w:rsidRPr="008F586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BA0D87" w:rsidRPr="00BA0D87">
        <w:rPr>
          <w:rFonts w:ascii="Times New Roman" w:eastAsia="Times New Roman" w:hAnsi="Times New Roman" w:cs="Times New Roman"/>
          <w:i/>
          <w:spacing w:val="6"/>
          <w:sz w:val="28"/>
          <w:szCs w:val="28"/>
          <w:lang w:eastAsia="ru-RU"/>
        </w:rPr>
        <w:t>При этом изменение размера валютного вклада, вызванное курсовыми колебаниями, при расчете суммы НДФЛ не учитывается.</w:t>
      </w:r>
    </w:p>
    <w:p w:rsidR="00BE7DAF" w:rsidRPr="00001A35" w:rsidRDefault="00BE7DAF" w:rsidP="00BE7DAF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  <w:r w:rsidRPr="00001A35">
        <w:rPr>
          <w:spacing w:val="6"/>
          <w:sz w:val="28"/>
          <w:szCs w:val="28"/>
        </w:rPr>
        <w:t>Например, открывать небольшие счета в разных банках, до миллиона, или использовать валютные счета одновременно с рублевыми. К сожалению, эти «манипуляции» не сработают. </w:t>
      </w:r>
    </w:p>
    <w:p w:rsidR="00BE7DAF" w:rsidRDefault="00BE7DAF" w:rsidP="00BE7DAF">
      <w:pPr>
        <w:pStyle w:val="a4"/>
        <w:spacing w:before="0" w:beforeAutospacing="0" w:after="0" w:afterAutospacing="0" w:line="360" w:lineRule="auto"/>
        <w:jc w:val="both"/>
        <w:rPr>
          <w:i/>
          <w:iCs/>
          <w:spacing w:val="6"/>
          <w:sz w:val="28"/>
          <w:szCs w:val="28"/>
        </w:rPr>
      </w:pPr>
      <w:r w:rsidRPr="00001A35">
        <w:rPr>
          <w:i/>
          <w:iCs/>
          <w:spacing w:val="6"/>
          <w:sz w:val="28"/>
          <w:szCs w:val="28"/>
        </w:rPr>
        <w:t>«Доход будут рассчитывать от совокупности все</w:t>
      </w:r>
      <w:r w:rsidR="002A64E2">
        <w:rPr>
          <w:i/>
          <w:iCs/>
          <w:spacing w:val="6"/>
          <w:sz w:val="28"/>
          <w:szCs w:val="28"/>
        </w:rPr>
        <w:t>х вкладов в российских банках</w:t>
      </w:r>
      <w:r w:rsidRPr="00001A35">
        <w:rPr>
          <w:i/>
          <w:iCs/>
          <w:spacing w:val="6"/>
          <w:sz w:val="28"/>
          <w:szCs w:val="28"/>
        </w:rPr>
        <w:t xml:space="preserve">. И в расчет принимается период в один календарный год. Если </w:t>
      </w:r>
      <w:r w:rsidR="002A64E2">
        <w:rPr>
          <w:i/>
          <w:iCs/>
          <w:spacing w:val="6"/>
          <w:sz w:val="28"/>
          <w:szCs w:val="28"/>
        </w:rPr>
        <w:t xml:space="preserve">налогоплательщик </w:t>
      </w:r>
      <w:r w:rsidRPr="00001A35">
        <w:rPr>
          <w:i/>
          <w:iCs/>
          <w:spacing w:val="6"/>
          <w:sz w:val="28"/>
          <w:szCs w:val="28"/>
        </w:rPr>
        <w:t>получал выплаты в валюте, они тоже будут учтены. Проценты пересчитают в рублях, руководствуясь курсом Центробанка с учетом даты получения дохода». </w:t>
      </w:r>
    </w:p>
    <w:p w:rsidR="002A64E2" w:rsidRPr="00BA0D87" w:rsidRDefault="002A64E2" w:rsidP="00BE7DAF">
      <w:pPr>
        <w:pStyle w:val="a4"/>
        <w:spacing w:before="0" w:beforeAutospacing="0" w:after="0" w:afterAutospacing="0" w:line="360" w:lineRule="auto"/>
        <w:jc w:val="both"/>
        <w:rPr>
          <w:spacing w:val="6"/>
          <w:sz w:val="28"/>
          <w:szCs w:val="28"/>
        </w:rPr>
      </w:pPr>
    </w:p>
    <w:p w:rsidR="00BA0D87" w:rsidRDefault="00BA0D87" w:rsidP="00BE7DAF">
      <w:pPr>
        <w:pStyle w:val="a4"/>
        <w:spacing w:before="0" w:beforeAutospacing="0" w:after="0" w:afterAutospacing="0" w:line="360" w:lineRule="auto"/>
        <w:jc w:val="both"/>
        <w:rPr>
          <w:b/>
          <w:iCs/>
          <w:spacing w:val="6"/>
          <w:sz w:val="28"/>
          <w:szCs w:val="28"/>
        </w:rPr>
      </w:pPr>
    </w:p>
    <w:sectPr w:rsidR="00BA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F0569"/>
    <w:multiLevelType w:val="multilevel"/>
    <w:tmpl w:val="644C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CC1BA6"/>
    <w:multiLevelType w:val="multilevel"/>
    <w:tmpl w:val="E998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E447CD"/>
    <w:multiLevelType w:val="multilevel"/>
    <w:tmpl w:val="7F38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07"/>
    <w:rsid w:val="000E3240"/>
    <w:rsid w:val="001A1ECD"/>
    <w:rsid w:val="00253887"/>
    <w:rsid w:val="002A64E2"/>
    <w:rsid w:val="002E1DD2"/>
    <w:rsid w:val="0045187E"/>
    <w:rsid w:val="004939D2"/>
    <w:rsid w:val="004A4533"/>
    <w:rsid w:val="004E568C"/>
    <w:rsid w:val="0069643F"/>
    <w:rsid w:val="006E5A60"/>
    <w:rsid w:val="007B167D"/>
    <w:rsid w:val="00881F1C"/>
    <w:rsid w:val="008A0907"/>
    <w:rsid w:val="008A1422"/>
    <w:rsid w:val="008F5869"/>
    <w:rsid w:val="00936C80"/>
    <w:rsid w:val="00AB55FB"/>
    <w:rsid w:val="00BA0D87"/>
    <w:rsid w:val="00BD7133"/>
    <w:rsid w:val="00BE7DAF"/>
    <w:rsid w:val="00CA5267"/>
    <w:rsid w:val="00D60032"/>
    <w:rsid w:val="00DA0C23"/>
    <w:rsid w:val="00DD74A6"/>
    <w:rsid w:val="00E467AC"/>
    <w:rsid w:val="00F96741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0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6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9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1422"/>
    <w:rPr>
      <w:color w:val="0000FF"/>
      <w:u w:val="single"/>
    </w:rPr>
  </w:style>
  <w:style w:type="paragraph" w:customStyle="1" w:styleId="aligncenter">
    <w:name w:val="align_center"/>
    <w:basedOn w:val="a"/>
    <w:rsid w:val="008A1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167D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4">
    <w:name w:val="Normal (Web)"/>
    <w:basedOn w:val="a"/>
    <w:uiPriority w:val="99"/>
    <w:unhideWhenUsed/>
    <w:rsid w:val="007B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6741"/>
    <w:rPr>
      <w:b/>
      <w:bCs/>
    </w:rPr>
  </w:style>
  <w:style w:type="table" w:styleId="a6">
    <w:name w:val="Table Grid"/>
    <w:basedOn w:val="a1"/>
    <w:uiPriority w:val="39"/>
    <w:rsid w:val="00F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0C23"/>
    <w:pPr>
      <w:ind w:left="720"/>
      <w:contextualSpacing/>
    </w:pPr>
  </w:style>
  <w:style w:type="paragraph" w:customStyle="1" w:styleId="bigger">
    <w:name w:val="bigger"/>
    <w:basedOn w:val="a"/>
    <w:rsid w:val="00E4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0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16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09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A1422"/>
    <w:rPr>
      <w:color w:val="0000FF"/>
      <w:u w:val="single"/>
    </w:rPr>
  </w:style>
  <w:style w:type="paragraph" w:customStyle="1" w:styleId="aligncenter">
    <w:name w:val="align_center"/>
    <w:basedOn w:val="a"/>
    <w:rsid w:val="008A1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B167D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4">
    <w:name w:val="Normal (Web)"/>
    <w:basedOn w:val="a"/>
    <w:uiPriority w:val="99"/>
    <w:unhideWhenUsed/>
    <w:rsid w:val="007B1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6741"/>
    <w:rPr>
      <w:b/>
      <w:bCs/>
    </w:rPr>
  </w:style>
  <w:style w:type="table" w:styleId="a6">
    <w:name w:val="Table Grid"/>
    <w:basedOn w:val="a1"/>
    <w:uiPriority w:val="39"/>
    <w:rsid w:val="00F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0C23"/>
    <w:pPr>
      <w:ind w:left="720"/>
      <w:contextualSpacing/>
    </w:pPr>
  </w:style>
  <w:style w:type="paragraph" w:customStyle="1" w:styleId="bigger">
    <w:name w:val="bigger"/>
    <w:basedOn w:val="a"/>
    <w:rsid w:val="00E46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99520/0191424d2012cb13d0e6f615d4a8ded4fd2e2522/" TargetMode="External"/><Relationship Id="rId13" Type="http://schemas.openxmlformats.org/officeDocument/2006/relationships/hyperlink" Target="http://publication.pravo.gov.ru/Document/View/0001202104200048" TargetMode="External"/><Relationship Id="rId18" Type="http://schemas.openxmlformats.org/officeDocument/2006/relationships/hyperlink" Target="https://www.nalog.gov.ru/html/sites/www.new.nalog.ru/NDFL_EASY/Pravila_obmena_info_NDFL_v0.6.docx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consultant.ru/document/cons_doc_LAW_389853/2b69106f66601ba5b58aaeb82395674581c66c20/" TargetMode="External"/><Relationship Id="rId12" Type="http://schemas.openxmlformats.org/officeDocument/2006/relationships/hyperlink" Target="http://www.consultant.ru/document/cons_doc_LAW_389853/52c9050787677b8d340f7131daf733a5a3d6f4db/" TargetMode="External"/><Relationship Id="rId17" Type="http://schemas.openxmlformats.org/officeDocument/2006/relationships/hyperlink" Target="https://lkfl2.nal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kfl2.nalog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99520/0191424d2012cb13d0e6f615d4a8ded4fd2e2522/" TargetMode="External"/><Relationship Id="rId11" Type="http://schemas.openxmlformats.org/officeDocument/2006/relationships/hyperlink" Target="http://www.consultant.ru/document/cons_doc_LAW_399520/11efa70d435af75d72a0a31b3fad6d1acc90fd0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kfl2.nalog.ru/" TargetMode="External"/><Relationship Id="rId10" Type="http://schemas.openxmlformats.org/officeDocument/2006/relationships/hyperlink" Target="http://www.consultant.ru/document/cons_doc_LAW_399520/11efa70d435af75d72a0a31b3fad6d1acc90fd06/" TargetMode="External"/><Relationship Id="rId19" Type="http://schemas.openxmlformats.org/officeDocument/2006/relationships/hyperlink" Target="http://publication.pravo.gov.ru/Document/View/00012020040100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89853/52c9050787677b8d340f7131daf733a5a3d6f4db/" TargetMode="External"/><Relationship Id="rId14" Type="http://schemas.openxmlformats.org/officeDocument/2006/relationships/hyperlink" Target="https://lkfl2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Хмелева Марина Евгеньевна</cp:lastModifiedBy>
  <cp:revision>3</cp:revision>
  <dcterms:created xsi:type="dcterms:W3CDTF">2021-11-29T04:55:00Z</dcterms:created>
  <dcterms:modified xsi:type="dcterms:W3CDTF">2021-11-29T04:56:00Z</dcterms:modified>
</cp:coreProperties>
</file>